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77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6229"/>
      </w:tblGrid>
      <w:tr w:rsidR="00AF46A1" w:rsidRPr="0013356F" w:rsidTr="00AF46A1">
        <w:tc>
          <w:tcPr>
            <w:tcW w:w="50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BE4EA1" w:rsidP="00AF46A1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  <w:t xml:space="preserve">SỞ </w:t>
            </w:r>
            <w:r w:rsidR="00AF46A1" w:rsidRPr="0013356F"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eastAsia="vi-VN"/>
              </w:rPr>
              <w:t xml:space="preserve">GD&amp;ĐT </w:t>
            </w:r>
            <w:r w:rsidRPr="0013356F">
              <w:rPr>
                <w:rFonts w:asciiTheme="majorHAnsi" w:eastAsia="Times New Roman" w:hAnsiTheme="majorHAnsi" w:cstheme="majorHAnsi"/>
                <w:b/>
                <w:color w:val="333333"/>
                <w:szCs w:val="28"/>
                <w:lang w:val="en-US" w:eastAsia="vi-VN"/>
              </w:rPr>
              <w:t>TP ĐÀ NẴNG</w:t>
            </w:r>
          </w:p>
          <w:p w:rsidR="00AF46A1" w:rsidRPr="0013356F" w:rsidRDefault="00AF46A1" w:rsidP="00AF46A1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b/>
                <w:bCs/>
                <w:color w:val="333333"/>
                <w:szCs w:val="28"/>
                <w:lang w:eastAsia="vi-VN"/>
              </w:rPr>
              <w:t>TR</w:t>
            </w:r>
            <w:r w:rsidR="00BE4EA1" w:rsidRPr="0013356F">
              <w:rPr>
                <w:rFonts w:asciiTheme="majorHAnsi" w:eastAsia="Times New Roman" w:hAnsiTheme="majorHAnsi" w:cstheme="majorHAnsi"/>
                <w:b/>
                <w:bCs/>
                <w:color w:val="333333"/>
                <w:szCs w:val="28"/>
                <w:lang w:val="en-US" w:eastAsia="vi-VN"/>
              </w:rPr>
              <w:t xml:space="preserve">UNG TÂM HỖ TRỢ VÀ PHÁT TRIỂN </w:t>
            </w:r>
            <w:r w:rsidR="00DB61D5" w:rsidRPr="0013356F">
              <w:rPr>
                <w:rFonts w:asciiTheme="majorHAnsi" w:eastAsia="Times New Roman" w:hAnsiTheme="majorHAnsi" w:cstheme="majorHAnsi"/>
                <w:b/>
                <w:bCs/>
                <w:color w:val="333333"/>
                <w:szCs w:val="28"/>
                <w:lang w:val="en-US" w:eastAsia="vi-VN"/>
              </w:rPr>
              <w:t>GIÁO DỤC HÒA NHẬP</w:t>
            </w:r>
            <w:r w:rsidR="00BE4EA1" w:rsidRPr="0013356F">
              <w:rPr>
                <w:rFonts w:asciiTheme="majorHAnsi" w:eastAsia="Times New Roman" w:hAnsiTheme="majorHAnsi" w:cstheme="majorHAnsi"/>
                <w:b/>
                <w:bCs/>
                <w:color w:val="333333"/>
                <w:szCs w:val="28"/>
                <w:lang w:val="en-US" w:eastAsia="vi-VN"/>
              </w:rPr>
              <w:t xml:space="preserve"> ĐÀ NẴNG</w:t>
            </w: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AF46A1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b/>
                <w:bCs/>
                <w:color w:val="333333"/>
                <w:szCs w:val="28"/>
                <w:lang w:eastAsia="vi-VN"/>
              </w:rPr>
              <w:t>CỘNG HÒA XÃ HỘI CHỦ NGHĨA VIỆT NAM</w:t>
            </w:r>
          </w:p>
          <w:p w:rsidR="00AF46A1" w:rsidRPr="0013356F" w:rsidRDefault="00AF46A1" w:rsidP="00AF46A1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b/>
                <w:bCs/>
                <w:color w:val="333333"/>
                <w:szCs w:val="28"/>
                <w:lang w:eastAsia="vi-VN"/>
              </w:rPr>
              <w:t>Độc lập – Tự do – Hạnh phúc</w:t>
            </w:r>
          </w:p>
        </w:tc>
      </w:tr>
      <w:tr w:rsidR="00AF46A1" w:rsidRPr="0013356F" w:rsidTr="00AF46A1">
        <w:tc>
          <w:tcPr>
            <w:tcW w:w="50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166351" w:rsidP="00AF46A1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noProof/>
                <w:color w:val="333333"/>
                <w:szCs w:val="28"/>
                <w:lang w:eastAsia="vi-VN"/>
              </w:rPr>
              <mc:AlternateContent>
                <mc:Choice Requires="wps">
                  <w:drawing>
                    <wp:inline distT="0" distB="0" distL="0" distR="0">
                      <wp:extent cx="1390650" cy="19050"/>
                      <wp:effectExtent l="0" t="0" r="0" b="0"/>
                      <wp:docPr id="2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906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C0F2BB" id="AutoShape 1" o:spid="_x0000_s1026" style="width:109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O0sQ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TjAStIcW3W2t9JFR7MozKJPBrUf1oF2CRt3L6ptBQi5bKjbszigoMrQenh+PtJZDy2gNPD1EeIHh&#10;DANoaD18lDUEpBDQF2/f6N7FgLKgve/R06lHbG9RBYfxdRpNJ9DKCnxxGsEWSIY0Oz5W2tj3TPbI&#10;bXKsgZ0Hp7t7Y8erxysulpAl7zovg05cHADmeAKh4anzORK+qz/TKF3NV3MSkGS6CkhUFMFduSTB&#10;tIxnk+K6WC6L+JeLG5Os5XXNhAtzVFhM/qyDB62P2jhpzMiO1w7OUTJ6s152Gu0oKLz036EgZ9fC&#10;Sxq+XpDLi5TihETvkjQop/NZQEoyCdJZNA+iOH2XTiOSkqK8TOmeC/bvKaEhx+kkmfgunZF+kVvk&#10;v9e50aznFmZIx/scz0+XaOYUuBK1b62lvBv3Z6Vw9J9LAe0+Ntrr1Ul0VP9a1k8gVy1BTiA8mHaw&#10;aaX+gdEAkyPH5vuWaoZR90GA5NOYEDdqvEEmswQMfe5Zn3uoqAAqxxajcbu043jaKs03LUSKfWGE&#10;dP9lw72E3S80sgL+zoDp4DM5TDI3fs5tf+t53i5+AwAA//8DAFBLAwQUAAYACAAAACEAvDJ7RdoA&#10;AAADAQAADwAAAGRycy9kb3ducmV2LnhtbEyPQUvDQBCF74L/YRnBi9hNK4jGTIoUxCJCaao9b7Nj&#10;EszOptltEv+9oxe9PHi84b1vsuXkWjVQHxrPCPNZAoq49LbhCuFt93R9BypEw9a0ngnhiwIs8/Oz&#10;zKTWj7yloYiVkhIOqUGoY+xSrUNZkzNh5jtiyT5870wU21fa9maUctfqRZLcamcaloXadLSqqfws&#10;Tg5hLDfDfvf6rDdX+7Xn4/q4Kt5fEC8vpscHUJGm+HcMP/iCDrkwHfyJbVAtgjwSf1Wyxfxe7AHh&#10;JgGdZ/o/e/4NAAD//wMAUEsBAi0AFAAGAAgAAAAhALaDOJL+AAAA4QEAABMAAAAAAAAAAAAAAAAA&#10;AAAAAFtDb250ZW50X1R5cGVzXS54bWxQSwECLQAUAAYACAAAACEAOP0h/9YAAACUAQAACwAAAAAA&#10;AAAAAAAAAAAvAQAAX3JlbHMvLnJlbHNQSwECLQAUAAYACAAAACEAspATtLECAAC3BQAADgAAAAAA&#10;AAAAAAAAAAAuAgAAZHJzL2Uyb0RvYy54bWxQSwECLQAUAAYACAAAACEAvDJ7RdoAAAADAQAADwAA&#10;AAAAAAAAAAAAAAALBQAAZHJzL2Rvd25yZXYueG1sUEsFBgAAAAAEAAQA8wAAAB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F46A1" w:rsidRPr="0013356F" w:rsidRDefault="00AF46A1" w:rsidP="00EA41AC">
            <w:pPr>
              <w:rPr>
                <w:rFonts w:asciiTheme="majorHAnsi" w:hAnsiTheme="majorHAnsi" w:cstheme="majorHAnsi"/>
                <w:szCs w:val="28"/>
                <w:lang w:val="en-US" w:eastAsia="vi-VN"/>
              </w:rPr>
            </w:pPr>
          </w:p>
        </w:tc>
        <w:tc>
          <w:tcPr>
            <w:tcW w:w="62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166351" w:rsidP="00AF46A1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noProof/>
                <w:color w:val="333333"/>
                <w:szCs w:val="28"/>
                <w:lang w:eastAsia="vi-VN"/>
              </w:rPr>
              <mc:AlternateContent>
                <mc:Choice Requires="wps">
                  <w:drawing>
                    <wp:inline distT="0" distB="0" distL="0" distR="0">
                      <wp:extent cx="2124075" cy="1905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1240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28352F" id="AutoShape 2" o:spid="_x0000_s1026" style="width:167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9kasQIAALcFAAAOAAAAZHJzL2Uyb0RvYy54bWysVNtu2zAMfR+wfxD07voy5WKjTtHG8TCg&#10;2wp0+wDFlmNhtqRJSpxu2L+PkpM0aV+GbX4wJJEieQ6PeH2z7zu0Y9pwKXIcX0UYMVHJmotNjr9+&#10;KYM5RsZSUdNOCpbjJ2bwzeLtm+tBZSyRrexqphEEESYbVI5ba1UWhqZqWU/NlVRMgLGRuqcWtnoT&#10;1poOEL3vwiSKpuEgda20rJgxcFqMRrzw8ZuGVfZz0xhmUZdjqM36v/b/tfuHi2uabTRVLa8OZdC/&#10;qKKnXEDSU6iCWoq2mr8K1fNKSyMbe1XJPpRNwyvmMQCaOHqB5rGlinksQI5RJ5rM/wtbfdo9aMRr&#10;6B1GgvbQotutlT4zShw9gzIZeD2qB+0AGnUvq28GCblsqdiwW6OA5PH68UhrObSM1lBn7EKEFzHc&#10;xkA0tB4+yhoSUkjoyds3unc5gBa09z16OvWI7S2q4DCJExLNJhhVYIvTaOJ7GNLseFlpY98z2SO3&#10;yLGG6nxwurs31hVDs6OLyyVkybvOy6ATFwfgOJ5AarjqbK4I39WfaZSu5qs5CUgyXQUkKorgtlyS&#10;YFrGs0nxrlgui/iXyxuTrOV1zYRLc1RYTP6sgwetj9o4aczIjtcunCvJ6M162Wm0o6Dw0n+ecrA8&#10;u4WXZXgSAMsLSI7ZuyQNyul8FpCSTIJ0Fs2DKE7v0mlEUlKUl5DuuWD/DgkNOU4nycR36azoF9gi&#10;/73GRrOeW5ghHe9zPD850cwpcCVq31pLeTeuz6hw5T9TAe0+Ntrr1Ul0VP9a1k8gVy1BTjBDYNrB&#10;opX6B0YDTI4cm+9bqhlG3QcBkk9jQtyo8RsymSWw0eeW9bmFigpC5dhiNC6XdhxPW6X5poVMsSdG&#10;SPcuG+4l7J7QWNXhccF08EgOk8yNn/O993qet4vfAAAA//8DAFBLAwQUAAYACAAAACEAZYfRJdsA&#10;AAADAQAADwAAAGRycy9kb3ducmV2LnhtbEyPQUvDQBCF74L/YRnBi9iNVkViNkUKYhGhmGrP0+yY&#10;BLOzaXabxH/v1Itehje84b1vssXkWjVQHxrPBq5mCSji0tuGKwPvm6fLe1AhIltsPZOBbwqwyE9P&#10;MkytH/mNhiJWSkI4pGigjrFLtQ5lTQ7DzHfE4n363mGUta+07XGUcNfq6yS50w4bloYaO1rWVH4V&#10;B2dgLNfDdvP6rNcX25Xn/Wq/LD5ejDk/mx4fQEWa4t8xHPEFHXJh2vkD26BaA/JI/J3izec3t6B2&#10;IhLQeab/s+c/AAAA//8DAFBLAQItABQABgAIAAAAIQC2gziS/gAAAOEBAAATAAAAAAAAAAAAAAAA&#10;AAAAAABbQ29udGVudF9UeXBlc10ueG1sUEsBAi0AFAAGAAgAAAAhADj9If/WAAAAlAEAAAsAAAAA&#10;AAAAAAAAAAAALwEAAF9yZWxzLy5yZWxzUEsBAi0AFAAGAAgAAAAhAD732RqxAgAAtwUAAA4AAAAA&#10;AAAAAAAAAAAALgIAAGRycy9lMm9Eb2MueG1sUEsBAi0AFAAGAAgAAAAhAGWH0SXbAAAAAwEAAA8A&#10;AAAAAAAAAAAAAAAACwUAAGRycy9kb3ducmV2LnhtbFBLBQYAAAAABAAEAPMAAAA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AF46A1" w:rsidRPr="0013356F" w:rsidRDefault="00AF46A1" w:rsidP="008F36CE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     </w:t>
            </w:r>
            <w:r w:rsidR="00BE4EA1" w:rsidRPr="0013356F">
              <w:rPr>
                <w:rFonts w:asciiTheme="majorHAnsi" w:eastAsia="Times New Roman" w:hAnsiTheme="majorHAnsi" w:cstheme="majorHAnsi"/>
                <w:i/>
                <w:iCs/>
                <w:color w:val="333333"/>
                <w:szCs w:val="28"/>
                <w:lang w:eastAsia="vi-VN"/>
              </w:rPr>
              <w:t xml:space="preserve">Đà Nẵng, ngày </w:t>
            </w:r>
            <w:r w:rsidR="00CE7DA5">
              <w:rPr>
                <w:rFonts w:asciiTheme="majorHAnsi" w:eastAsia="Times New Roman" w:hAnsiTheme="majorHAnsi" w:cstheme="majorHAnsi"/>
                <w:i/>
                <w:iCs/>
                <w:color w:val="333333"/>
                <w:szCs w:val="28"/>
                <w:lang w:eastAsia="vi-VN"/>
              </w:rPr>
              <w:t>1 tháng 9 năm 2025</w:t>
            </w:r>
          </w:p>
        </w:tc>
      </w:tr>
    </w:tbl>
    <w:p w:rsidR="00AF46A1" w:rsidRPr="0013356F" w:rsidRDefault="00AF46A1" w:rsidP="00A317B2">
      <w:pPr>
        <w:shd w:val="clear" w:color="auto" w:fill="FFFFFF"/>
        <w:spacing w:after="162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</w:p>
    <w:p w:rsidR="00AF46A1" w:rsidRPr="0013356F" w:rsidRDefault="00AF46A1" w:rsidP="00AF46A1">
      <w:pPr>
        <w:shd w:val="clear" w:color="auto" w:fill="FFFFFF"/>
        <w:spacing w:after="162" w:line="240" w:lineRule="auto"/>
        <w:jc w:val="center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KẾ HOẠCH Y TẾ HỌC ĐƯỜNG</w:t>
      </w:r>
    </w:p>
    <w:p w:rsidR="00AF46A1" w:rsidRPr="0013356F" w:rsidRDefault="00CE7DA5" w:rsidP="00AF46A1">
      <w:pPr>
        <w:shd w:val="clear" w:color="auto" w:fill="FFFFFF"/>
        <w:spacing w:after="162" w:line="240" w:lineRule="auto"/>
        <w:jc w:val="center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Năm học 2025</w:t>
      </w:r>
      <w:r w:rsidR="00E2759B"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- 20</w:t>
      </w:r>
      <w:r w:rsidR="00720B61"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>2</w:t>
      </w:r>
      <w:r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>6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I. MỤC ĐÍCH, YÊU CẦU:</w:t>
      </w:r>
      <w:r w:rsidR="00E2759B"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 xml:space="preserve"> 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 </w:t>
      </w: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1. Mục đích: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 - Nhằm tạo thực hiện tốt công tác chăm sóc sức khỏe ban đầu cho học sinh có sức khỏe tốt để học tập và tham g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ia các phong trào của trung tâm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 - Thực hiện t</w:t>
      </w:r>
      <w:r w:rsidR="0020198A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ốt các văn bản chỉ đạo của Sở Giáo dục và Đào tạo Thành phố Đà Nẵng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, Sở Y tế thành phố</w:t>
      </w:r>
      <w:r w:rsidR="0063186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về công tác 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y tế</w:t>
      </w:r>
      <w:r w:rsidR="00E2759B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học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đường</w:t>
      </w:r>
      <w:r w:rsidR="00E2759B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;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vệ sinh môi trường</w:t>
      </w:r>
      <w:r w:rsidR="00E2759B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;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phòng, chống các dịch bệnh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trong trung tâm</w:t>
      </w:r>
      <w:r w:rsidR="0063186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 </w:t>
      </w: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2. Yêu cầu: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          - Tập thể công chức, viên chức 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và học sinh của trung tâm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thực hiện tốt nội du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ng kế hoạch công tác y tế 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học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đường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          - Tất cả học sinh được </w:t>
      </w:r>
      <w:r w:rsidR="0063186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tham gia các hoạt động vui chơi và được giáo dục 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việc bảo vệ chăm sóc sức</w:t>
      </w:r>
      <w:r w:rsidR="0063186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khỏe.</w:t>
      </w:r>
    </w:p>
    <w:p w:rsidR="007E3210" w:rsidRPr="0013356F" w:rsidRDefault="00AF46A1" w:rsidP="007E3210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Theme="majorHAnsi" w:hAnsiTheme="majorHAnsi" w:cstheme="majorHAnsi"/>
          <w:color w:val="333333"/>
          <w:sz w:val="28"/>
          <w:szCs w:val="28"/>
          <w:lang w:val="en-US"/>
        </w:rPr>
      </w:pPr>
      <w:r w:rsidRPr="0013356F">
        <w:rPr>
          <w:rFonts w:asciiTheme="majorHAnsi" w:hAnsiTheme="majorHAnsi" w:cstheme="majorHAnsi"/>
          <w:b/>
          <w:bCs/>
          <w:color w:val="333333"/>
          <w:sz w:val="28"/>
          <w:szCs w:val="28"/>
        </w:rPr>
        <w:t xml:space="preserve">II. NỘI DUNG THỰC </w:t>
      </w:r>
      <w:r w:rsidR="00631865" w:rsidRPr="0013356F">
        <w:rPr>
          <w:rFonts w:asciiTheme="majorHAnsi" w:hAnsiTheme="majorHAnsi" w:cstheme="majorHAnsi"/>
          <w:b/>
          <w:bCs/>
          <w:color w:val="333333"/>
          <w:sz w:val="28"/>
          <w:szCs w:val="28"/>
        </w:rPr>
        <w:t>HIỆN</w:t>
      </w:r>
    </w:p>
    <w:p w:rsidR="007E3210" w:rsidRPr="0013356F" w:rsidRDefault="007E3210" w:rsidP="007E321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3356F">
        <w:rPr>
          <w:rFonts w:asciiTheme="majorHAnsi" w:hAnsiTheme="majorHAnsi" w:cstheme="majorHAnsi"/>
          <w:b/>
          <w:color w:val="333333"/>
          <w:sz w:val="28"/>
          <w:szCs w:val="28"/>
          <w:lang w:val="en-US"/>
        </w:rPr>
        <w:t>Về cơ sở vật chất:</w:t>
      </w:r>
      <w:r w:rsidRPr="0013356F">
        <w:rPr>
          <w:rFonts w:asciiTheme="majorHAnsi" w:hAnsiTheme="majorHAnsi" w:cstheme="majorHAnsi"/>
          <w:color w:val="333333"/>
          <w:sz w:val="28"/>
          <w:szCs w:val="28"/>
        </w:rPr>
        <w:t xml:space="preserve"> </w:t>
      </w:r>
    </w:p>
    <w:p w:rsidR="007E3210" w:rsidRPr="0013356F" w:rsidRDefault="007E3210" w:rsidP="007E3210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theme="majorHAnsi"/>
          <w:color w:val="333333"/>
          <w:sz w:val="28"/>
          <w:szCs w:val="28"/>
        </w:rPr>
      </w:pPr>
      <w:r w:rsidRPr="0013356F">
        <w:rPr>
          <w:rFonts w:asciiTheme="majorHAnsi" w:hAnsiTheme="majorHAnsi" w:cstheme="majorHAnsi"/>
          <w:color w:val="333333"/>
          <w:sz w:val="28"/>
          <w:szCs w:val="28"/>
          <w:lang w:val="en-US"/>
        </w:rPr>
        <w:t xml:space="preserve">             -</w:t>
      </w:r>
      <w:r w:rsidRPr="0013356F">
        <w:rPr>
          <w:rFonts w:asciiTheme="majorHAnsi" w:hAnsiTheme="majorHAnsi" w:cstheme="majorHAnsi"/>
          <w:color w:val="333333"/>
          <w:sz w:val="28"/>
          <w:szCs w:val="28"/>
        </w:rPr>
        <w:t>Thường xuyên kiểm tra các phòng lớp: hệ thống chiếu sáng, quạt, bàn, ghế, bảng và tình hình vệ sinh để kịp t</w:t>
      </w:r>
      <w:r w:rsidR="008F36CE" w:rsidRPr="0013356F">
        <w:rPr>
          <w:rFonts w:asciiTheme="majorHAnsi" w:hAnsiTheme="majorHAnsi" w:cstheme="majorHAnsi"/>
          <w:color w:val="333333"/>
          <w:sz w:val="28"/>
          <w:szCs w:val="28"/>
        </w:rPr>
        <w:t>hời tham mưu với lãnh đạo trung tâm</w:t>
      </w:r>
      <w:r w:rsidRPr="0013356F">
        <w:rPr>
          <w:rFonts w:asciiTheme="majorHAnsi" w:hAnsiTheme="majorHAnsi" w:cstheme="majorHAnsi"/>
          <w:color w:val="333333"/>
          <w:sz w:val="28"/>
          <w:szCs w:val="28"/>
        </w:rPr>
        <w:t xml:space="preserve"> chủ động khắc phục, sửa chữa nhằm đảm bảo điều kiện an toàn trong học tập và sinh hoạt của học</w:t>
      </w:r>
      <w:r w:rsidRPr="0013356F">
        <w:rPr>
          <w:rFonts w:asciiTheme="majorHAnsi" w:hAnsiTheme="majorHAnsi" w:cstheme="majorHAnsi"/>
          <w:color w:val="333333"/>
          <w:sz w:val="28"/>
          <w:szCs w:val="28"/>
          <w:lang w:val="en-US"/>
        </w:rPr>
        <w:t xml:space="preserve"> sinh</w:t>
      </w:r>
      <w:r w:rsidRPr="0013356F">
        <w:rPr>
          <w:rFonts w:asciiTheme="majorHAnsi" w:hAnsiTheme="majorHAnsi" w:cstheme="majorHAnsi"/>
          <w:color w:val="333333"/>
          <w:sz w:val="28"/>
          <w:szCs w:val="28"/>
        </w:rPr>
        <w:t xml:space="preserve"> .</w:t>
      </w:r>
    </w:p>
    <w:p w:rsidR="00AF46A1" w:rsidRPr="0013356F" w:rsidRDefault="007E3210" w:rsidP="0063186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</w:t>
      </w:r>
      <w:r w:rsidR="007E3210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   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</w:t>
      </w:r>
      <w:r w:rsidR="007E3210"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>2</w:t>
      </w: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). Các công trình vệ sinh: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- Có nhà vệ sinh cho học sinh và giáo viên riêng biệt (nam và </w:t>
      </w:r>
      <w:r w:rsidR="0063186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nữ)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, có nhân viên làm vệ sinh sạch sẽ hàng </w:t>
      </w:r>
      <w:r w:rsidR="00CE7DA5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ngày và có nhân viên</w:t>
      </w:r>
      <w:r w:rsidR="00A12E5D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trung tâm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thường xuyên kiểm tra.</w:t>
      </w:r>
    </w:p>
    <w:p w:rsidR="00AF46A1" w:rsidRPr="0013356F" w:rsidRDefault="007E3210" w:rsidP="00631865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- Có 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bồn rửa tay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, có trang bị đấy đủ xà phòng tiệt khuẩn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sát khuẩn khô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cho học sinh và cán bộ, giáo viên sử dụng.</w:t>
      </w:r>
    </w:p>
    <w:p w:rsidR="00AF46A1" w:rsidRPr="0013356F" w:rsidRDefault="007142DA" w:rsidP="00AF46A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lastRenderedPageBreak/>
        <w:t>- Thực hiện thu gom rác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hàng ng</w:t>
      </w:r>
      <w:r w:rsidR="0063186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ày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,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thùng chứa rác có nắp đậy.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- Hệ thống cấp nước: sử dụng nguồn </w:t>
      </w:r>
      <w:r w:rsidR="007142DA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nước sạch hợp vệ sinh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đảm bảo nguồn nước sinh hoạt, nước uống cho học sinh và CB-GV-NV trung tâm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:rsidR="008F36CE" w:rsidRPr="0013356F" w:rsidRDefault="008F36CE" w:rsidP="00AF46A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- Nguồn nước uống phải xét nghiệm theo định kỳ để đảm bảo nguồn nước sạch.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 </w:t>
      </w:r>
      <w:r w:rsidR="00991DC4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3</w:t>
      </w: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).Công tác phòng, chống dịch bệnh:</w:t>
      </w:r>
    </w:p>
    <w:p w:rsidR="00317B64" w:rsidRPr="0013356F" w:rsidRDefault="007142DA" w:rsidP="00AF46A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-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Th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ực hiện tuyên truyền phòng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chống 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dịch 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b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ệnh trong 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trung tâm</w:t>
      </w: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,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</w:t>
      </w:r>
      <w:r w:rsidR="008F36C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phun thuốc </w:t>
      </w:r>
      <w:r w:rsidR="00CE7DA5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diệt muỗi định kỳ</w:t>
      </w:r>
      <w:r w:rsidR="00317B64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.</w:t>
      </w:r>
    </w:p>
    <w:p w:rsidR="00AF46A1" w:rsidRPr="0013356F" w:rsidRDefault="00AF46A1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         </w:t>
      </w:r>
      <w:r w:rsidR="00A12E5D">
        <w:rPr>
          <w:rFonts w:asciiTheme="majorHAnsi" w:eastAsia="Times New Roman" w:hAnsiTheme="majorHAnsi" w:cstheme="majorHAnsi"/>
          <w:b/>
          <w:bCs/>
          <w:color w:val="333333"/>
          <w:szCs w:val="28"/>
          <w:lang w:val="en-US" w:eastAsia="vi-VN"/>
        </w:rPr>
        <w:t>4</w:t>
      </w:r>
      <w:r w:rsidRPr="0013356F">
        <w:rPr>
          <w:rFonts w:asciiTheme="majorHAnsi" w:eastAsia="Times New Roman" w:hAnsiTheme="majorHAnsi" w:cstheme="majorHAnsi"/>
          <w:b/>
          <w:bCs/>
          <w:color w:val="333333"/>
          <w:szCs w:val="28"/>
          <w:lang w:eastAsia="vi-VN"/>
        </w:rPr>
        <w:t>).An toàn vệ sinh thực phẩm:</w:t>
      </w:r>
    </w:p>
    <w:p w:rsidR="00AC0EE2" w:rsidRPr="0013356F" w:rsidRDefault="00827A5E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hAnsiTheme="majorHAnsi" w:cstheme="majorHAnsi"/>
          <w:color w:val="333333"/>
          <w:szCs w:val="28"/>
          <w:shd w:val="clear" w:color="auto" w:fill="FFFFFF"/>
          <w:lang w:val="en-US"/>
        </w:rPr>
        <w:t xml:space="preserve">          -</w:t>
      </w:r>
      <w:r w:rsidRPr="0013356F">
        <w:rPr>
          <w:rFonts w:asciiTheme="majorHAnsi" w:hAnsiTheme="majorHAnsi" w:cstheme="majorHAnsi"/>
          <w:color w:val="333333"/>
          <w:szCs w:val="28"/>
          <w:shd w:val="clear" w:color="auto" w:fill="FFFFFF"/>
        </w:rPr>
        <w:t>Nguồn thực phẩm nhập vào: hợp đồng với công ty cung cấp uy tín, chất lượng và được kiểm tra hàng ngày. Thực hiện sơ chế, chế biến theo nguyên tắc một chiều.</w:t>
      </w:r>
    </w:p>
    <w:p w:rsidR="00AF46A1" w:rsidRPr="0013356F" w:rsidRDefault="00AC0EE2" w:rsidP="00AF46A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         -Hàng ngày kiểm tra thực phẩm đảm bả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o thực phẩm an toàn hợp vệ sinh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,lưu mẫu thức ăn đầy đủ.</w:t>
      </w:r>
    </w:p>
    <w:p w:rsidR="00D55B91" w:rsidRPr="0013356F" w:rsidRDefault="00AC0EE2" w:rsidP="00AC0EE2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         -Nhân viên nhà bếp được tập huấn về vệ sinh an toàn thực phẩm,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khám sức khỏe định kỳ hàng năm,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có đồ bảo hộ lao động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khi chế biến thực phẩm.</w:t>
      </w:r>
    </w:p>
    <w:p w:rsidR="00D55B91" w:rsidRPr="0013356F" w:rsidRDefault="00D55B91" w:rsidP="00AC0EE2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color w:val="333333"/>
          <w:szCs w:val="28"/>
          <w:lang w:val="fr-FR" w:eastAsia="vi-VN"/>
        </w:rPr>
      </w:pPr>
      <w:r w:rsidRPr="0013356F">
        <w:rPr>
          <w:rFonts w:asciiTheme="majorHAnsi" w:eastAsia="Times New Roman" w:hAnsiTheme="majorHAnsi" w:cstheme="majorHAnsi"/>
          <w:b/>
          <w:color w:val="333333"/>
          <w:szCs w:val="28"/>
          <w:lang w:eastAsia="vi-VN"/>
        </w:rPr>
        <w:t xml:space="preserve">           </w:t>
      </w:r>
      <w:r w:rsidR="00A12E5D">
        <w:rPr>
          <w:rFonts w:asciiTheme="majorHAnsi" w:eastAsia="Times New Roman" w:hAnsiTheme="majorHAnsi" w:cstheme="majorHAnsi"/>
          <w:b/>
          <w:color w:val="333333"/>
          <w:szCs w:val="28"/>
          <w:lang w:val="fr-FR" w:eastAsia="vi-VN"/>
        </w:rPr>
        <w:t>5</w:t>
      </w:r>
      <w:r w:rsidRPr="0013356F">
        <w:rPr>
          <w:rFonts w:asciiTheme="majorHAnsi" w:eastAsia="Times New Roman" w:hAnsiTheme="majorHAnsi" w:cstheme="majorHAnsi"/>
          <w:b/>
          <w:color w:val="333333"/>
          <w:szCs w:val="28"/>
          <w:lang w:val="fr-FR" w:eastAsia="vi-VN"/>
        </w:rPr>
        <w:t>) Về Công Tác Y Tế:</w:t>
      </w:r>
    </w:p>
    <w:p w:rsidR="00AF46A1" w:rsidRPr="0013356F" w:rsidRDefault="00CE7DA5" w:rsidP="00AC0EE2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</w:pPr>
      <w:r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  <w:t xml:space="preserve">          -Nhân viên </w:t>
      </w:r>
      <w:r w:rsidR="00D55B91" w:rsidRPr="0013356F"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  <w:t>lập dự trù và mua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thuốc, vật tư y tế</w:t>
      </w:r>
      <w:r w:rsidR="00D55B91" w:rsidRPr="0013356F"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  <w:t xml:space="preserve"> 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… và các loại cần thiết khác phục vụ cho công tác chăm sóc sức khỏe ban đầu tại</w:t>
      </w:r>
      <w:r w:rsidR="000332F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trung tâm</w:t>
      </w:r>
      <w:r w:rsidR="00D55B9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</w:t>
      </w:r>
      <w:r w:rsidR="000332F5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và tình hình thực tế của trung tâm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:rsidR="00AF46A1" w:rsidRPr="0013356F" w:rsidRDefault="00D55B91" w:rsidP="00D55B9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  <w:t xml:space="preserve">          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-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Phối hợp với Bệnh viện </w:t>
      </w:r>
      <w:r w:rsidR="00CA3450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Nam Liên C</w:t>
      </w:r>
      <w:r w:rsidR="00CE7DA5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hiểu 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>Đà nẵng t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ổ chức khám sức khỏe định kỳ</w:t>
      </w:r>
      <w:r w:rsidR="00827A5E" w:rsidRPr="0013356F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hàng năm</w:t>
      </w:r>
      <w:r w:rsidR="00AF46A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 xml:space="preserve"> cho học sinh</w:t>
      </w:r>
      <w:r w:rsidR="003449C7" w:rsidRPr="0013356F"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  <w:t>.</w:t>
      </w:r>
    </w:p>
    <w:p w:rsidR="003449C7" w:rsidRPr="0013356F" w:rsidRDefault="003449C7" w:rsidP="00D55B91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val="fr-FR" w:eastAsia="vi-VN"/>
        </w:rPr>
        <w:t xml:space="preserve">         -Tuyên truyền phòng chống dịch bệnh theo mùa.</w:t>
      </w:r>
    </w:p>
    <w:p w:rsidR="008A3D21" w:rsidRDefault="00AF46A1" w:rsidP="00DA2EAE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- Hồ sơ sổ sách đầy đủ, thực hiện các báo cáo định kỳ và đột xuất về trên đúng theo quy định</w:t>
      </w:r>
      <w:r w:rsidR="00D55B91"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.</w:t>
      </w:r>
    </w:p>
    <w:p w:rsidR="00A12E5D" w:rsidRDefault="00A12E5D" w:rsidP="008A3D21">
      <w:pP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     </w:t>
      </w:r>
      <w:r w:rsidR="00A72628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   </w:t>
      </w:r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Người lập    </w:t>
      </w:r>
      <w:r w:rsidR="00A72628"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                          </w:t>
      </w:r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                     Giám đốc</w:t>
      </w:r>
    </w:p>
    <w:p w:rsidR="00A12E5D" w:rsidRDefault="00A12E5D" w:rsidP="008A3D21">
      <w:pP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</w:p>
    <w:p w:rsidR="00A12E5D" w:rsidRDefault="00A12E5D" w:rsidP="008A3D21">
      <w:pP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</w:p>
    <w:p w:rsidR="00AF46A1" w:rsidRPr="00A12E5D" w:rsidRDefault="00A12E5D" w:rsidP="008A3D21">
      <w:pPr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  <w:t xml:space="preserve">  </w:t>
      </w:r>
      <w:r w:rsidR="00A72628"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  <w:t>Huỳnh Thị Thùy Nhung</w:t>
      </w:r>
      <w:r w:rsidRPr="00A12E5D">
        <w:rPr>
          <w:rFonts w:asciiTheme="majorHAnsi" w:eastAsia="Times New Roman" w:hAnsiTheme="majorHAnsi" w:cstheme="majorHAnsi"/>
          <w:b/>
          <w:color w:val="333333"/>
          <w:szCs w:val="28"/>
          <w:lang w:eastAsia="vi-VN"/>
        </w:rPr>
        <w:t xml:space="preserve">             </w:t>
      </w:r>
      <w:r w:rsidR="00A72628"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  <w:t xml:space="preserve">        </w:t>
      </w:r>
      <w:r w:rsidR="00CE7DA5">
        <w:rPr>
          <w:rFonts w:asciiTheme="majorHAnsi" w:eastAsia="Times New Roman" w:hAnsiTheme="majorHAnsi" w:cstheme="majorHAnsi"/>
          <w:b/>
          <w:color w:val="333333"/>
          <w:szCs w:val="28"/>
          <w:lang w:val="en-US" w:eastAsia="vi-VN"/>
        </w:rPr>
        <w:t xml:space="preserve">             </w:t>
      </w:r>
      <w:r w:rsidR="00CE7DA5">
        <w:rPr>
          <w:rFonts w:asciiTheme="majorHAnsi" w:eastAsia="Times New Roman" w:hAnsiTheme="majorHAnsi" w:cstheme="majorHAnsi"/>
          <w:b/>
          <w:color w:val="333333"/>
          <w:szCs w:val="28"/>
          <w:lang w:eastAsia="vi-VN"/>
        </w:rPr>
        <w:t>Đặng Thanh Tùng</w:t>
      </w:r>
    </w:p>
    <w:p w:rsidR="00A12E5D" w:rsidRPr="00A12E5D" w:rsidRDefault="00A12E5D">
      <w:pPr>
        <w:rPr>
          <w:rFonts w:asciiTheme="majorHAnsi" w:eastAsia="Times New Roman" w:hAnsiTheme="majorHAnsi" w:cstheme="majorHAnsi"/>
          <w:b/>
          <w:color w:val="333333"/>
          <w:szCs w:val="28"/>
          <w:lang w:eastAsia="vi-VN"/>
        </w:rPr>
      </w:pPr>
      <w:r w:rsidRPr="00A12E5D">
        <w:rPr>
          <w:rFonts w:asciiTheme="majorHAnsi" w:eastAsia="Times New Roman" w:hAnsiTheme="majorHAnsi" w:cstheme="majorHAnsi"/>
          <w:b/>
          <w:color w:val="333333"/>
          <w:szCs w:val="28"/>
          <w:lang w:eastAsia="vi-VN"/>
        </w:rPr>
        <w:br w:type="page"/>
      </w:r>
    </w:p>
    <w:p w:rsidR="00A12E5D" w:rsidRPr="0013356F" w:rsidRDefault="00A12E5D" w:rsidP="008A3D21">
      <w:pPr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</w:p>
    <w:p w:rsidR="00AF46A1" w:rsidRPr="0013356F" w:rsidRDefault="00AF46A1" w:rsidP="00AF46A1">
      <w:pPr>
        <w:shd w:val="clear" w:color="auto" w:fill="FFFFFF"/>
        <w:spacing w:after="162" w:line="300" w:lineRule="atLeast"/>
        <w:jc w:val="center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LỊCH HOẠT ĐỘNG Y TẾ HỌC ĐƯỜNG HÀNG THÁNG</w:t>
      </w:r>
    </w:p>
    <w:p w:rsidR="00AF46A1" w:rsidRPr="0013356F" w:rsidRDefault="00865327" w:rsidP="00AF46A1">
      <w:pPr>
        <w:shd w:val="clear" w:color="auto" w:fill="FFFFFF"/>
        <w:spacing w:after="162" w:line="300" w:lineRule="atLeast"/>
        <w:jc w:val="center"/>
        <w:rPr>
          <w:rFonts w:asciiTheme="majorHAnsi" w:eastAsia="Times New Roman" w:hAnsiTheme="majorHAnsi" w:cstheme="majorHAnsi"/>
          <w:color w:val="333333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>Năm học 2025</w:t>
      </w:r>
      <w:r w:rsidR="002E7F21" w:rsidRPr="0013356F">
        <w:rPr>
          <w:rFonts w:asciiTheme="majorHAnsi" w:eastAsia="Times New Roman" w:hAnsiTheme="majorHAnsi" w:cstheme="majorHAnsi"/>
          <w:b/>
          <w:bCs/>
          <w:color w:val="000000"/>
          <w:szCs w:val="28"/>
          <w:lang w:eastAsia="vi-VN"/>
        </w:rPr>
        <w:t xml:space="preserve"> -20</w:t>
      </w:r>
      <w:r w:rsidR="00720B61"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2</w:t>
      </w:r>
      <w:r>
        <w:rPr>
          <w:rFonts w:asciiTheme="majorHAnsi" w:eastAsia="Times New Roman" w:hAnsiTheme="majorHAnsi" w:cstheme="majorHAnsi"/>
          <w:b/>
          <w:bCs/>
          <w:color w:val="000000"/>
          <w:szCs w:val="28"/>
          <w:lang w:val="en-US" w:eastAsia="vi-VN"/>
        </w:rPr>
        <w:t>6</w:t>
      </w:r>
    </w:p>
    <w:p w:rsidR="00AF46A1" w:rsidRPr="0013356F" w:rsidRDefault="00AF46A1" w:rsidP="00AF46A1">
      <w:pPr>
        <w:shd w:val="clear" w:color="auto" w:fill="FFFFFF"/>
        <w:spacing w:after="162" w:line="240" w:lineRule="auto"/>
        <w:jc w:val="both"/>
        <w:rPr>
          <w:rFonts w:asciiTheme="majorHAnsi" w:eastAsia="Times New Roman" w:hAnsiTheme="majorHAnsi" w:cstheme="majorHAnsi"/>
          <w:color w:val="333333"/>
          <w:szCs w:val="28"/>
          <w:lang w:eastAsia="vi-VN"/>
        </w:rPr>
      </w:pPr>
      <w:r w:rsidRPr="0013356F">
        <w:rPr>
          <w:rFonts w:asciiTheme="majorHAnsi" w:eastAsia="Times New Roman" w:hAnsiTheme="majorHAnsi" w:cstheme="majorHAnsi"/>
          <w:color w:val="333333"/>
          <w:szCs w:val="28"/>
          <w:lang w:eastAsia="vi-VN"/>
        </w:rPr>
        <w:t> 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435"/>
        <w:gridCol w:w="311"/>
        <w:gridCol w:w="5759"/>
        <w:gridCol w:w="736"/>
      </w:tblGrid>
      <w:tr w:rsidR="00AF46A1" w:rsidRPr="0013356F" w:rsidTr="00061670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STT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Thời gian</w:t>
            </w:r>
          </w:p>
        </w:tc>
        <w:tc>
          <w:tcPr>
            <w:tcW w:w="5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Nội dung công việc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Ghi chú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1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Tháng</w:t>
            </w:r>
          </w:p>
          <w:p w:rsidR="00AF46A1" w:rsidRPr="0013356F" w:rsidRDefault="00553BBA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9/2025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A99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="00A52A99"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 w:rsidR="00553BBA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dịch.</w:t>
            </w:r>
          </w:p>
          <w:p w:rsidR="00A52A99" w:rsidRPr="0013356F" w:rsidRDefault="00A52A99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Lập dự trù mua thuốc và vật tư y tế đầu năm học.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làm tờ trình xin phun thuốc diệt muỗi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làm tờ trình xin khám sức khỏe cho học sinh đầu năm học.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Xét nghiệm nước uống định kỳ theo quy định.</w:t>
            </w:r>
          </w:p>
          <w:p w:rsidR="00553BBA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và thu bảo hiểm y tế HS nội trú</w:t>
            </w:r>
          </w:p>
          <w:p w:rsidR="00553BBA" w:rsidRPr="0013356F" w:rsidRDefault="00553BB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ATGT, phòng chống cháy nổ, an toàn sử dụng điện</w:t>
            </w:r>
            <w:r w:rsidR="00961C27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 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2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CA3450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10/2025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9E" w:rsidRPr="0013356F" w:rsidRDefault="005F309E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 w:rsidR="00961C27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dịch.</w:t>
            </w:r>
          </w:p>
          <w:p w:rsidR="00914AE4" w:rsidRDefault="005F309E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lastRenderedPageBreak/>
              <w:t>- Kiểm tra thường xuyên và đột xuất VSMTXQ lớp học, nội trú, bếp ăn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Phối hợp với bệnh viện GTVT khám sức khỏe cho học sinh đầu năm học.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Lâph dự trù bổ sung tủ thuốc tháng 10.</w:t>
            </w:r>
          </w:p>
          <w:p w:rsidR="00570D95" w:rsidRPr="0013356F" w:rsidRDefault="00570D95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bệnh phòng chống xuất huyết.</w:t>
            </w:r>
            <w:bookmarkStart w:id="0" w:name="_GoBack"/>
            <w:bookmarkEnd w:id="0"/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lastRenderedPageBreak/>
              <w:t> 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3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CA3450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11/2025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9E" w:rsidRPr="0013356F" w:rsidRDefault="005F309E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 w:rsidR="00570D95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5F309E" w:rsidRDefault="005F309E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570D95" w:rsidRDefault="00570D95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1D4B7C" w:rsidRDefault="001D4B7C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Phun thuốc diệt muỗi</w:t>
            </w:r>
          </w:p>
          <w:p w:rsidR="001D4B7C" w:rsidRDefault="001D4B7C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lập dự trù bổ sung tủ thuốc tháng 11</w:t>
            </w:r>
          </w:p>
          <w:p w:rsidR="001D4B7C" w:rsidRDefault="001D4B7C" w:rsidP="00570D95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Tiến hành phân loại sức khỏe học sinh và lưu hồ sơ</w:t>
            </w:r>
          </w:p>
          <w:p w:rsidR="00EA07FB" w:rsidRPr="0013356F" w:rsidRDefault="001D4B7C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lastRenderedPageBreak/>
              <w:t>- tuyên truyền VSATTP, VSLĐ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lastRenderedPageBreak/>
              <w:t> 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4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CA3450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12/2025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B7C" w:rsidRPr="0013356F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Lập dự trù mua thuốc tháng 12</w:t>
            </w:r>
          </w:p>
          <w:p w:rsidR="00AC2845" w:rsidRPr="0013356F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tiêm chủng vacxin theo chương trình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 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5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3449C7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01/20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26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B7C" w:rsidRPr="0013356F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Lập dự trù mua thuốc tháng 1</w:t>
            </w:r>
          </w:p>
          <w:p w:rsidR="001D4B7C" w:rsidRDefault="001D4B7C" w:rsidP="001D4B7C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lastRenderedPageBreak/>
              <w:t>- Làm tờ trình phun thuốc diệt muỗi lần 2</w:t>
            </w:r>
          </w:p>
          <w:p w:rsidR="00FC0215" w:rsidRPr="0013356F" w:rsidRDefault="001D4B7C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ATGT, chống ngộ độc thực phẩm trước trong và sau tết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lastRenderedPageBreak/>
              <w:t> 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6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3449C7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02/20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26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497" w:rsidRPr="0013356F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E11497" w:rsidRDefault="00E11497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Lập dự trù mua thuốc tháng 2</w:t>
            </w:r>
          </w:p>
          <w:p w:rsidR="00F822B3" w:rsidRPr="0013356F" w:rsidRDefault="00267C92" w:rsidP="00E1149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các bệnh khi chuyển mùa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 </w:t>
            </w:r>
          </w:p>
        </w:tc>
      </w:tr>
      <w:tr w:rsidR="00AF46A1" w:rsidRPr="0013356F" w:rsidTr="00061670"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7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3449C7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03/20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26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640" w:rsidRPr="0013356F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EF5640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lastRenderedPageBreak/>
              <w:t>- Lập dự trù mua thuốc tháng 3</w:t>
            </w:r>
          </w:p>
          <w:p w:rsidR="00F822B3" w:rsidRPr="0013356F" w:rsidRDefault="00EF5640" w:rsidP="00EF5640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đuối nước.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lastRenderedPageBreak/>
              <w:t> </w:t>
            </w:r>
          </w:p>
        </w:tc>
      </w:tr>
      <w:tr w:rsidR="00AF46A1" w:rsidRPr="0013356F" w:rsidTr="00061670">
        <w:trPr>
          <w:trHeight w:val="169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AF46A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8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46A1" w:rsidRPr="0013356F" w:rsidRDefault="003449C7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04/20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26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977" w:rsidRPr="0013356F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Lập dự trù mua thuốc tháng 4</w:t>
            </w:r>
          </w:p>
          <w:p w:rsidR="00E007BA" w:rsidRPr="0013356F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hưởng ứng tháng hành động VSATTP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6A1" w:rsidRPr="0013356F" w:rsidRDefault="00AF46A1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 </w:t>
            </w:r>
          </w:p>
        </w:tc>
      </w:tr>
      <w:tr w:rsidR="003C270A" w:rsidRPr="0013356F" w:rsidTr="00061670">
        <w:trPr>
          <w:trHeight w:val="1690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0A" w:rsidRPr="0013356F" w:rsidRDefault="003C270A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0A" w:rsidRPr="0013356F" w:rsidRDefault="009E5601" w:rsidP="0013356F">
            <w:pPr>
              <w:spacing w:after="162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>05/20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26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977" w:rsidRPr="0013356F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  <w:t xml:space="preserve">- </w:t>
            </w: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Tuyên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truyền phòng chống dịch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 w:rsidRPr="0013356F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tai nạn học đường, dịch bệnh theo mùa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thường xuyên và đột xuất VSMTXQ lớp học, nội trú, bếp ăn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Kiểm tra hàng ngày VSATTP đầu vào, lưu mẫu, sổ ghi chép thực phẩm lưu mẫu.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Thường xuyên nhắc nhở kiểm tra hàng ngày thực hiện quy trình chế biến thức ăn một chiều đảm bảo VSATTP.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Nhắc nhở trụm nước sôi chén bát, đũa, muỗng thường xuyên.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Sơ cứu và xử lý ban đầu một số bệnh thông thường và tai nạn học đường.</w:t>
            </w:r>
          </w:p>
          <w:p w:rsidR="000F3977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lastRenderedPageBreak/>
              <w:t>- Lập dự trù mua thuốc tháng 5</w:t>
            </w:r>
          </w:p>
          <w:p w:rsidR="005D2AE6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Tuyên truyền phòng chống các bệnh chu</w:t>
            </w:r>
            <w:r w:rsidR="005D2AE6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yển mùa chống bạo lực học đường.</w:t>
            </w:r>
          </w:p>
          <w:p w:rsidR="000F3977" w:rsidRDefault="005D2AE6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R</w:t>
            </w:r>
            <w:r w:rsidR="000F3977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à soát 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thuốc, </w:t>
            </w:r>
            <w:r w:rsidR="000F3977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vật tư y tế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 tồn</w:t>
            </w:r>
            <w:r w:rsidR="000F3977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 cuối năm</w:t>
            </w:r>
          </w:p>
          <w:p w:rsidR="003C270A" w:rsidRPr="0013356F" w:rsidRDefault="000F3977" w:rsidP="000F3977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- Tổng kết báo</w:t>
            </w:r>
            <w:r w:rsidR="00CA3450"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 xml:space="preserve"> cáo y tế học đường năm học 2025-2026</w:t>
            </w:r>
            <w:r>
              <w:rPr>
                <w:rFonts w:asciiTheme="majorHAnsi" w:eastAsia="Times New Roman" w:hAnsiTheme="majorHAnsi" w:cstheme="majorHAnsi"/>
                <w:color w:val="333333"/>
                <w:szCs w:val="28"/>
                <w:lang w:val="en-US" w:eastAsia="vi-VN"/>
              </w:rPr>
              <w:t>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0A" w:rsidRPr="0013356F" w:rsidRDefault="003C270A" w:rsidP="0013356F">
            <w:pPr>
              <w:spacing w:after="162" w:line="240" w:lineRule="auto"/>
              <w:jc w:val="both"/>
              <w:rPr>
                <w:rFonts w:asciiTheme="majorHAnsi" w:eastAsia="Times New Roman" w:hAnsiTheme="majorHAnsi" w:cstheme="majorHAnsi"/>
                <w:color w:val="333333"/>
                <w:szCs w:val="28"/>
                <w:lang w:eastAsia="vi-VN"/>
              </w:rPr>
            </w:pPr>
          </w:p>
        </w:tc>
      </w:tr>
      <w:tr w:rsidR="003C270A" w:rsidRPr="0013356F" w:rsidTr="005D2AE6">
        <w:trPr>
          <w:gridAfter w:val="3"/>
          <w:wAfter w:w="6806" w:type="dxa"/>
          <w:trHeight w:val="60"/>
        </w:trPr>
        <w:tc>
          <w:tcPr>
            <w:tcW w:w="2200" w:type="dxa"/>
            <w:gridSpan w:val="2"/>
            <w:shd w:val="clear" w:color="auto" w:fill="FFFFFF"/>
            <w:vAlign w:val="center"/>
            <w:hideMark/>
          </w:tcPr>
          <w:p w:rsidR="003C270A" w:rsidRPr="0013356F" w:rsidRDefault="003C270A" w:rsidP="0013356F">
            <w:pPr>
              <w:spacing w:after="0" w:line="240" w:lineRule="auto"/>
              <w:rPr>
                <w:rFonts w:asciiTheme="majorHAnsi" w:eastAsia="Times New Roman" w:hAnsiTheme="majorHAnsi" w:cstheme="majorHAnsi"/>
                <w:szCs w:val="28"/>
                <w:lang w:val="en-US" w:eastAsia="vi-VN"/>
              </w:rPr>
            </w:pPr>
          </w:p>
        </w:tc>
      </w:tr>
    </w:tbl>
    <w:p w:rsidR="006F5584" w:rsidRDefault="006F5584" w:rsidP="006F5584">
      <w:pPr>
        <w:rPr>
          <w:rFonts w:asciiTheme="majorHAnsi" w:hAnsiTheme="majorHAnsi" w:cstheme="majorHAnsi"/>
          <w:szCs w:val="28"/>
          <w:lang w:val="en-US"/>
        </w:rPr>
      </w:pPr>
    </w:p>
    <w:p w:rsidR="006C5CA2" w:rsidRPr="006F5584" w:rsidRDefault="0013356F" w:rsidP="006F5584">
      <w:pPr>
        <w:rPr>
          <w:rFonts w:asciiTheme="majorHAnsi" w:hAnsiTheme="majorHAnsi" w:cstheme="majorHAnsi"/>
          <w:szCs w:val="28"/>
          <w:lang w:val="en-US"/>
        </w:rPr>
      </w:pPr>
      <w:r w:rsidRPr="006F5584">
        <w:rPr>
          <w:rFonts w:asciiTheme="majorHAnsi" w:hAnsiTheme="majorHAnsi" w:cstheme="majorHAnsi"/>
          <w:szCs w:val="28"/>
          <w:lang w:val="en-US"/>
        </w:rPr>
        <w:t>Lập kế hoạch y tế và thực hiện công tác y tế đột xuất khi được BGĐ phân công</w:t>
      </w:r>
      <w:r w:rsidRPr="006F5584">
        <w:rPr>
          <w:rFonts w:asciiTheme="majorHAnsi" w:hAnsiTheme="majorHAnsi" w:cstheme="majorHAnsi"/>
          <w:szCs w:val="28"/>
          <w:lang w:val="en-US"/>
        </w:rPr>
        <w:br w:type="textWrapping" w:clear="all"/>
      </w:r>
    </w:p>
    <w:p w:rsidR="00BE4EA1" w:rsidRPr="0013356F" w:rsidRDefault="00BE4EA1">
      <w:pPr>
        <w:rPr>
          <w:rFonts w:asciiTheme="majorHAnsi" w:hAnsiTheme="majorHAnsi" w:cstheme="majorHAnsi"/>
          <w:b/>
          <w:szCs w:val="28"/>
          <w:lang w:val="fr-FR"/>
        </w:rPr>
      </w:pPr>
      <w:r w:rsidRPr="0013356F">
        <w:rPr>
          <w:rFonts w:asciiTheme="majorHAnsi" w:hAnsiTheme="majorHAnsi" w:cstheme="majorHAnsi"/>
          <w:b/>
          <w:szCs w:val="28"/>
          <w:lang w:val="fr-FR"/>
        </w:rPr>
        <w:t xml:space="preserve">  </w:t>
      </w:r>
      <w:r w:rsidR="0049157F">
        <w:rPr>
          <w:rFonts w:asciiTheme="majorHAnsi" w:hAnsiTheme="majorHAnsi" w:cstheme="majorHAnsi"/>
          <w:b/>
          <w:szCs w:val="28"/>
          <w:lang w:val="fr-FR"/>
        </w:rPr>
        <w:t xml:space="preserve">     </w:t>
      </w:r>
      <w:r w:rsidR="00CA3450">
        <w:rPr>
          <w:rFonts w:asciiTheme="majorHAnsi" w:hAnsiTheme="majorHAnsi" w:cstheme="majorHAnsi"/>
          <w:b/>
          <w:szCs w:val="28"/>
          <w:lang w:val="fr-FR"/>
        </w:rPr>
        <w:t xml:space="preserve">         Nhân Viên      </w:t>
      </w:r>
      <w:r w:rsidRPr="0013356F">
        <w:rPr>
          <w:rFonts w:asciiTheme="majorHAnsi" w:hAnsiTheme="majorHAnsi" w:cstheme="majorHAnsi"/>
          <w:b/>
          <w:szCs w:val="28"/>
          <w:lang w:val="fr-FR"/>
        </w:rPr>
        <w:t xml:space="preserve">                                         </w:t>
      </w:r>
      <w:r w:rsidR="00865327">
        <w:rPr>
          <w:rFonts w:asciiTheme="majorHAnsi" w:hAnsiTheme="majorHAnsi" w:cstheme="majorHAnsi"/>
          <w:b/>
          <w:szCs w:val="28"/>
          <w:lang w:val="fr-FR"/>
        </w:rPr>
        <w:t xml:space="preserve">                </w:t>
      </w:r>
      <w:r w:rsidRPr="0013356F">
        <w:rPr>
          <w:rFonts w:asciiTheme="majorHAnsi" w:hAnsiTheme="majorHAnsi" w:cstheme="majorHAnsi"/>
          <w:b/>
          <w:szCs w:val="28"/>
          <w:lang w:val="fr-FR"/>
        </w:rPr>
        <w:t xml:space="preserve"> GIÁM ĐỐC</w:t>
      </w:r>
    </w:p>
    <w:p w:rsidR="00BE4EA1" w:rsidRPr="0013356F" w:rsidRDefault="00BE4EA1">
      <w:pPr>
        <w:rPr>
          <w:rFonts w:asciiTheme="majorHAnsi" w:hAnsiTheme="majorHAnsi" w:cstheme="majorHAnsi"/>
          <w:b/>
          <w:szCs w:val="28"/>
          <w:lang w:val="fr-FR"/>
        </w:rPr>
      </w:pPr>
    </w:p>
    <w:p w:rsidR="00BE4EA1" w:rsidRPr="0013356F" w:rsidRDefault="0013356F">
      <w:pPr>
        <w:rPr>
          <w:rFonts w:asciiTheme="majorHAnsi" w:hAnsiTheme="majorHAnsi" w:cstheme="majorHAnsi"/>
          <w:b/>
          <w:szCs w:val="28"/>
          <w:lang w:val="fr-FR"/>
        </w:rPr>
      </w:pPr>
      <w:r>
        <w:rPr>
          <w:rFonts w:asciiTheme="majorHAnsi" w:hAnsiTheme="majorHAnsi" w:cstheme="majorHAnsi"/>
          <w:b/>
          <w:szCs w:val="28"/>
          <w:lang w:val="fr-FR"/>
        </w:rPr>
        <w:t xml:space="preserve">     </w:t>
      </w:r>
      <w:r w:rsidR="000C0023">
        <w:rPr>
          <w:rFonts w:asciiTheme="majorHAnsi" w:hAnsiTheme="majorHAnsi" w:cstheme="majorHAnsi"/>
          <w:b/>
          <w:szCs w:val="28"/>
          <w:lang w:val="fr-FR"/>
        </w:rPr>
        <w:t>Huỳnh Thị Thùy Nhung</w:t>
      </w:r>
      <w:r w:rsidR="002E7F21" w:rsidRPr="0013356F">
        <w:rPr>
          <w:rFonts w:asciiTheme="majorHAnsi" w:hAnsiTheme="majorHAnsi" w:cstheme="majorHAnsi"/>
          <w:b/>
          <w:szCs w:val="28"/>
          <w:lang w:val="fr-FR"/>
        </w:rPr>
        <w:t xml:space="preserve">                     </w:t>
      </w:r>
      <w:r w:rsidR="00664EA7">
        <w:rPr>
          <w:rFonts w:asciiTheme="majorHAnsi" w:hAnsiTheme="majorHAnsi" w:cstheme="majorHAnsi"/>
          <w:b/>
          <w:szCs w:val="28"/>
          <w:lang w:val="fr-FR"/>
        </w:rPr>
        <w:t xml:space="preserve">                       </w:t>
      </w:r>
      <w:r w:rsidR="00865327">
        <w:rPr>
          <w:rFonts w:asciiTheme="majorHAnsi" w:hAnsiTheme="majorHAnsi" w:cstheme="majorHAnsi"/>
          <w:b/>
          <w:szCs w:val="28"/>
          <w:lang w:val="fr-FR"/>
        </w:rPr>
        <w:t xml:space="preserve">    Đặng Thanh Tùng</w:t>
      </w:r>
    </w:p>
    <w:sectPr w:rsidR="00BE4EA1" w:rsidRPr="0013356F" w:rsidSect="006C5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BE" w:rsidRDefault="006E07BE" w:rsidP="00BB519B">
      <w:pPr>
        <w:spacing w:after="0" w:line="240" w:lineRule="auto"/>
      </w:pPr>
      <w:r>
        <w:separator/>
      </w:r>
    </w:p>
  </w:endnote>
  <w:endnote w:type="continuationSeparator" w:id="0">
    <w:p w:rsidR="006E07BE" w:rsidRDefault="006E07BE" w:rsidP="00BB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BE" w:rsidRDefault="006E07BE" w:rsidP="00BB519B">
      <w:pPr>
        <w:spacing w:after="0" w:line="240" w:lineRule="auto"/>
      </w:pPr>
      <w:r>
        <w:separator/>
      </w:r>
    </w:p>
  </w:footnote>
  <w:footnote w:type="continuationSeparator" w:id="0">
    <w:p w:rsidR="006E07BE" w:rsidRDefault="006E07BE" w:rsidP="00BB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44B9"/>
    <w:multiLevelType w:val="hybridMultilevel"/>
    <w:tmpl w:val="4B346A02"/>
    <w:lvl w:ilvl="0" w:tplc="3F421B6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4C38FC"/>
    <w:multiLevelType w:val="hybridMultilevel"/>
    <w:tmpl w:val="77F0C752"/>
    <w:lvl w:ilvl="0" w:tplc="0CB4A4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56DE4"/>
    <w:multiLevelType w:val="hybridMultilevel"/>
    <w:tmpl w:val="066E2C92"/>
    <w:lvl w:ilvl="0" w:tplc="64C8C8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D4C17"/>
    <w:multiLevelType w:val="hybridMultilevel"/>
    <w:tmpl w:val="B4CA3E6C"/>
    <w:lvl w:ilvl="0" w:tplc="846A4878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BFB66A7"/>
    <w:multiLevelType w:val="hybridMultilevel"/>
    <w:tmpl w:val="1890BE36"/>
    <w:lvl w:ilvl="0" w:tplc="69901B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C36D7"/>
    <w:multiLevelType w:val="hybridMultilevel"/>
    <w:tmpl w:val="C2D4B99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D5EE4"/>
    <w:multiLevelType w:val="hybridMultilevel"/>
    <w:tmpl w:val="07D856B4"/>
    <w:lvl w:ilvl="0" w:tplc="899CB5E0">
      <w:numFmt w:val="bullet"/>
      <w:lvlText w:val=""/>
      <w:lvlJc w:val="left"/>
      <w:pPr>
        <w:ind w:left="435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A1"/>
    <w:rsid w:val="000332F5"/>
    <w:rsid w:val="00061670"/>
    <w:rsid w:val="000C0023"/>
    <w:rsid w:val="000C65D0"/>
    <w:rsid w:val="000D7C33"/>
    <w:rsid w:val="000F3977"/>
    <w:rsid w:val="001273F2"/>
    <w:rsid w:val="0013356F"/>
    <w:rsid w:val="00166351"/>
    <w:rsid w:val="0017210F"/>
    <w:rsid w:val="001D4B7C"/>
    <w:rsid w:val="0020198A"/>
    <w:rsid w:val="00267C92"/>
    <w:rsid w:val="00296DC6"/>
    <w:rsid w:val="002E27BE"/>
    <w:rsid w:val="002E7F21"/>
    <w:rsid w:val="00317B64"/>
    <w:rsid w:val="003449C7"/>
    <w:rsid w:val="0034649C"/>
    <w:rsid w:val="00357D0F"/>
    <w:rsid w:val="003C270A"/>
    <w:rsid w:val="003F215A"/>
    <w:rsid w:val="00427AB2"/>
    <w:rsid w:val="0049157F"/>
    <w:rsid w:val="004921B2"/>
    <w:rsid w:val="00496E8F"/>
    <w:rsid w:val="004A1995"/>
    <w:rsid w:val="004C5E2A"/>
    <w:rsid w:val="004E1052"/>
    <w:rsid w:val="005068FB"/>
    <w:rsid w:val="0053353B"/>
    <w:rsid w:val="00553BBA"/>
    <w:rsid w:val="00570D95"/>
    <w:rsid w:val="005929F1"/>
    <w:rsid w:val="005D2AE6"/>
    <w:rsid w:val="005F309E"/>
    <w:rsid w:val="00631865"/>
    <w:rsid w:val="00664EA7"/>
    <w:rsid w:val="006B62DE"/>
    <w:rsid w:val="006C5CA2"/>
    <w:rsid w:val="006E07BE"/>
    <w:rsid w:val="006E5220"/>
    <w:rsid w:val="006F5584"/>
    <w:rsid w:val="007142DA"/>
    <w:rsid w:val="00720B61"/>
    <w:rsid w:val="00791891"/>
    <w:rsid w:val="00795A34"/>
    <w:rsid w:val="007E3210"/>
    <w:rsid w:val="00827A5E"/>
    <w:rsid w:val="00865327"/>
    <w:rsid w:val="008A3D21"/>
    <w:rsid w:val="008F36CE"/>
    <w:rsid w:val="00914AE4"/>
    <w:rsid w:val="0092374E"/>
    <w:rsid w:val="00927B62"/>
    <w:rsid w:val="00961C27"/>
    <w:rsid w:val="00991DC4"/>
    <w:rsid w:val="009E5601"/>
    <w:rsid w:val="00A12E5D"/>
    <w:rsid w:val="00A317B2"/>
    <w:rsid w:val="00A52A99"/>
    <w:rsid w:val="00A72628"/>
    <w:rsid w:val="00AC0EE2"/>
    <w:rsid w:val="00AC2845"/>
    <w:rsid w:val="00AF46A1"/>
    <w:rsid w:val="00B17A4A"/>
    <w:rsid w:val="00B245BC"/>
    <w:rsid w:val="00B37F91"/>
    <w:rsid w:val="00BB519B"/>
    <w:rsid w:val="00BE4EA1"/>
    <w:rsid w:val="00C9180A"/>
    <w:rsid w:val="00CA3450"/>
    <w:rsid w:val="00CC38ED"/>
    <w:rsid w:val="00CE7DA5"/>
    <w:rsid w:val="00D55B91"/>
    <w:rsid w:val="00DA2EAE"/>
    <w:rsid w:val="00DB61D5"/>
    <w:rsid w:val="00E007BA"/>
    <w:rsid w:val="00E11497"/>
    <w:rsid w:val="00E2759B"/>
    <w:rsid w:val="00E61161"/>
    <w:rsid w:val="00EA07FB"/>
    <w:rsid w:val="00EA41AC"/>
    <w:rsid w:val="00EC2B14"/>
    <w:rsid w:val="00EF5640"/>
    <w:rsid w:val="00F822B3"/>
    <w:rsid w:val="00F96FEB"/>
    <w:rsid w:val="00F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E1DCA7-A2B7-4D97-A11A-CBD21511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6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AF46A1"/>
    <w:rPr>
      <w:b/>
      <w:bCs/>
    </w:rPr>
  </w:style>
  <w:style w:type="character" w:styleId="Emphasis">
    <w:name w:val="Emphasis"/>
    <w:basedOn w:val="DefaultParagraphFont"/>
    <w:uiPriority w:val="20"/>
    <w:qFormat/>
    <w:rsid w:val="00AF46A1"/>
    <w:rPr>
      <w:i/>
      <w:iCs/>
    </w:rPr>
  </w:style>
  <w:style w:type="paragraph" w:styleId="ListParagraph">
    <w:name w:val="List Paragraph"/>
    <w:basedOn w:val="Normal"/>
    <w:uiPriority w:val="34"/>
    <w:qFormat/>
    <w:rsid w:val="00827A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9B"/>
  </w:style>
  <w:style w:type="paragraph" w:styleId="Footer">
    <w:name w:val="footer"/>
    <w:basedOn w:val="Normal"/>
    <w:link w:val="FooterChar"/>
    <w:uiPriority w:val="99"/>
    <w:unhideWhenUsed/>
    <w:rsid w:val="00BB5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1B70-85AF-42BD-8D96-2C473A63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vitinh</dc:creator>
  <cp:lastModifiedBy>Hewlett-Packard Company</cp:lastModifiedBy>
  <cp:revision>30</cp:revision>
  <dcterms:created xsi:type="dcterms:W3CDTF">2021-12-17T01:41:00Z</dcterms:created>
  <dcterms:modified xsi:type="dcterms:W3CDTF">2025-09-20T00:46:00Z</dcterms:modified>
</cp:coreProperties>
</file>